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08" w:rsidRDefault="00996408" w:rsidP="0082155B">
      <w:pPr>
        <w:pStyle w:val="Pa4"/>
        <w:spacing w:after="100"/>
        <w:jc w:val="both"/>
        <w:rPr>
          <w:rFonts w:ascii="Lato" w:hAnsi="Lato" w:cs="Lato"/>
          <w:color w:val="000000"/>
          <w:sz w:val="22"/>
          <w:szCs w:val="22"/>
        </w:rPr>
      </w:pPr>
      <w:r>
        <w:rPr>
          <w:rFonts w:ascii="Lato" w:hAnsi="Lato" w:cs="Lato"/>
          <w:color w:val="000000"/>
          <w:sz w:val="22"/>
          <w:szCs w:val="22"/>
        </w:rPr>
        <w:t xml:space="preserve">Vicenza, 1 settembre 2015 </w:t>
      </w:r>
    </w:p>
    <w:p w:rsidR="00996408" w:rsidRDefault="00996408" w:rsidP="0082155B">
      <w:pPr>
        <w:pStyle w:val="Pa4"/>
        <w:spacing w:after="100"/>
        <w:jc w:val="both"/>
        <w:rPr>
          <w:rFonts w:ascii="Lato" w:hAnsi="Lato" w:cs="Lato"/>
          <w:color w:val="000000"/>
          <w:sz w:val="22"/>
          <w:szCs w:val="22"/>
        </w:rPr>
      </w:pPr>
    </w:p>
    <w:p w:rsidR="00996408" w:rsidRDefault="00996408" w:rsidP="0082155B">
      <w:pPr>
        <w:pStyle w:val="Pa4"/>
        <w:spacing w:after="100"/>
        <w:jc w:val="both"/>
        <w:rPr>
          <w:rFonts w:ascii="Lato" w:hAnsi="Lato" w:cs="Lato"/>
          <w:color w:val="000000"/>
          <w:sz w:val="22"/>
          <w:szCs w:val="22"/>
        </w:rPr>
      </w:pPr>
      <w:r>
        <w:rPr>
          <w:rFonts w:ascii="Lato" w:hAnsi="Lato" w:cs="Lato"/>
          <w:color w:val="000000"/>
          <w:sz w:val="22"/>
          <w:szCs w:val="22"/>
        </w:rPr>
        <w:t>EGREGIO SOCIO</w:t>
      </w:r>
    </w:p>
    <w:p w:rsidR="00996408" w:rsidRDefault="00996408" w:rsidP="0082155B">
      <w:pPr>
        <w:pStyle w:val="Pa4"/>
        <w:spacing w:after="100"/>
        <w:jc w:val="both"/>
        <w:rPr>
          <w:rFonts w:ascii="Lato" w:hAnsi="Lato" w:cs="Lato"/>
          <w:color w:val="000000"/>
          <w:sz w:val="22"/>
          <w:szCs w:val="22"/>
        </w:rPr>
      </w:pP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due fattori di cambiamento in questi ultimi mesi hanno pesantemente influenzato il mondo delle grandi Banche Popolari, determinandone il mutamento di assetto e di strategie.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Tali cambiamenti hanno coinvolto anche la nostra Banca Popolare di Vicenza che negli ultimi venti anni è passata da 100 a 700 sportelli, realizzando una crescita importante che l’ha portata a superare i confini del Nord Est, mettendo radici in Lombardia, Toscana, Lazio, Sicilia e Calabria e, sia pure a maglie più larghe, sul restante territorio nazionale.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Il primo cambiamento è stato indotto dalla decisione del Governo di obbligare alla trasformazione in società per azioni tutte le Banche Popolari di più grandi dimensioni, ossia quelle con un attivo superiore agli 8 miliardi, tra cui la nostra Banca.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Scompare così il mondo delle Popolari come lo abbiamo conosciuto, quello che ha accompagnato la crescita dei nostri territori, e che ha sempre messo al centro della sua missione i principi di mutualità ed il sostegno alle famiglie e alle piccole e medie imprese.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La nostra Banca Popolare di Vicenza quindi, fra qualche mese, dovrà convocare i Soci in assemblea per trasformarsi obbligatoriamente in una società per azioni, nella quale al tradizionale voto capitario “un socio – un voto” si sostituirà un sistema di voto che premia il capitale e che riserva le decisioni strategiche agli azionisti di maggioranza.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Un secondo grande cambiamento che ha influenzato e sta ancora influenzando fortemente il modo di operare delle Banche Popolari è l’evoluzione della normativa di riferimento, che deve tenere conto di regolamenti a valenza europea, non sempre coerenti con le specificità dei singoli Paesi membri e dei sistemi bancari nazionali.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Un primo esempio di tali nuove normative, che ha avuto un impatto strutturale sulle banche popolari non quotate in Borsa (come la Banca Popolare di Vicenza), è stata la sostanziale eliminazione del “Fondo acquisto azioni proprie” e della sua preziosa funzione di stanza di compensazione fra vendite ed acquisti di azioni della Banca.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Il “Fondo acquisto azioni proprie” della Banca Popolare di Vicenza, che ammontava a 240 milioni di euro, consentiva di intervenire nei momenti di massime vendite da parte dei Soci (di solito il periodo di maggio e giugno) e di fungere da vaso comunicante con le richieste di acquisto (di norma concentrate in autunno) da parte di vecchi e nuovi Soci.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L’attuale irrisoria consistenza del Fondo, ora fissata dalle nuove norme, ha creato di fatto per la nostra Banca l’impossibilità di operare come in passato, creando un inevitabile disagio ai Soci abituati a contare su una ragionevole speditezza nella liquidazione delle proprie azioni.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La nuova normativa è intervenuta anche su aspetti più tipici dell’operatività bancaria, quali la dotazione minima di capitale e di liquidità richieste a una banca per fare credito - entrambi aumentati in modo considerevole - e le politiche di accantonamento e di determinazione e valutazione delle garanzie ricevute dai clienti.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Cito per tutti l’esempio dei mutui casa e del valore dato all’ipoteca sugli immobili quale garanzia del credito: in precedenza i nostri crediti assistiti da ipoteca venivano considerati come crediti garantiti, oggi per il regolatore europeo questa garanzia vale molto meno.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L’impatto dei due fattori di cambiamento che ho ricordato ha determinato un’autentica rivoluzione in tutta l’operatività della nostra Banca, con conseguenze rilevanti anche sulle poste di bilancio, ed ha reso necessaria un’ampia riorganizzazione della dirigenza apicale.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Il Consiglio di Amministrazione ha individuato prontamente nel dottor Francesco Iorio - manager con importanti esperienze maturate nel settore finanziario e nel mondo bancario in particolare cooperativo, da ultimo come direttore generale e consigliere di gestione di UBI Banca - la personalità più adatta a ricoprire il ruolo di direttore generale e amministratore delegato della nostra Banca.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Al dottor Iorio si sono affiancati nella funzione di vice direttore generale vicario il dottor Iacopo De Francisco, già responsabile dell’attività commerciale della Banca Popolare di Milano, e tre nuovi direttori centrali, il dottor Diego Paolo Cavrioli, il dottor Alberto Piazza Spessa e il dottor Alberto Beretta, che hanno assunto rispettivamente la responsabilità della Divisione Finanza, della Direzione Risk Management e della Divisione Crediti.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Siamo certi che la nuova squadra di vertice abbia le competenze, la professionalità e la determinazione per imprimere al nostro Istituto la spinta decisiva all’efficienza e alla modernizzazione, in modo da adeguare celermente la Popolare di Vicenza ai migliori standard richiesti dal sistema bancario europeo.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Dopo le rettifiche di valore sugli avviamenti e sui crediti per oltre 1.400 milioni di euro già effettuate con il bilancio 2014, anche il risultato della semestrale 2015 porta il segno coraggioso del necessario processo di rafforzamento del capitale e del nostro bilancio, con ulteriori accantonamenti a copertura dei crediti e ulteriori svalutazioni degli avviamenti.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Questa è la imprescindibile premessa per ripartire, mantenendo salda la solidità e l’affidabilità della nostra Banca, che conta anche sul fatto che gli accantonamenti oggi prudenzialmente effettuati non sono perdite, e anzi in un prossimo futuro potrebbero trasformarsi in plusvalenze.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Quel che in questa fase angustia il Consiglio di Amministrazione è il fatto di non disporre di un sistema valido e subito disponibile per favorire la liquidabilità delle azioni ai nostri Soci.</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Ci siamo convinti che - in vista della nostra imminente trasformazione in società per azioni e al tavolo di eventuali trattative con altre società quotate per possibili fusioni o aggregazioni - la quotazione in borsa del titolo Banca Popolare di Vicenza sia la strada più corretta e conveniente da percorrere anche per meglio soddisfare le esigenze dei Soci.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Il mio augurio è che i Soci accompagnino con fiducia la loro Banca nel processo di trasformazione che le nuove normative europee richiedono, ed abbiano la pazienza di attendere, con i tempi migliori di una ripresa economica che auspichiamo non lontana, la ripresa del valore delle nostre azioni.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Contiamo inoltre, in questo momento, sulla fiducia dei nostri clienti, che sono oltre 1.300.000 e che hanno continuato a beneficiare della vicinanza della Banca soprattutto in questi tempi così difficili, sperimentando come la Popolare di Vicenza sia, non solo per il Nord Est ma per molte altre aree d’Italia, un punto di riferimento per l’economia ed un sostegno concreto e tangibile per aziende, imprenditori e famiglie.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Sulla fiducia di Soci e Clienti contano anche i 5.500 dipendenti della Banca che con abnegazione e professionalità si prodigano ogni giorno per assistere la clientela, e che qui ringrazio pubblicamente per l’impegno che quotidianamente assicurano al nostro Istituto dando prova di profondo attaccamento e straordinaria disponibilità.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Sarebbe un errore se i nostri 120.000 Soci gettassero la spugna per sfiducia, sconforto, o impazienza.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E sarebbe un errore, non solo perché non fareste né il vostro interesse né quello della Banca, ma anche perché così si butterebbero al vento 150 anni di storia, di lavoro e di sacrifici che vanno ascritti a merito di tutti: Soci, Clienti e Dipendenti.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Per cercare di conservare e possibilmente accrescere in futuro il valore dell’investimento dei Soci e quel patrimonio immateriale che la Popolare di Vicenza costituisce per il territorio, il Consiglio sta dispiegando ogni sforzo.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Ci siamo dati l’obiettivo, insieme al nuovo Top Management, di portare i motori della Banca alla potenza e alla velocità necessarie nel nuovo mercato, e di dotarla di tutti i parametri economici e finanziari che le nuove normative ci impongono.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Questo è l’impegno che ci siamo assunti e che ci sarà più facile onorare se sentiremo i Soci al nostro fianco e se potremo continuare a contare sulla Vostra stima e fiducia.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Soci, Clienti e Dipendenti hanno costituito per un secolo e mezzo la forza che ha consentito alla Banca Popolare di svilupparsi e prosperare, e diventare un polo di riferimento importante nel mondo bancario italiano ed europeo. </w:t>
      </w:r>
    </w:p>
    <w:p w:rsidR="00996408" w:rsidRPr="0082155B" w:rsidRDefault="00996408" w:rsidP="0082155B">
      <w:pPr>
        <w:pStyle w:val="Pa4"/>
        <w:spacing w:after="100"/>
        <w:jc w:val="both"/>
        <w:rPr>
          <w:rFonts w:ascii="Lato" w:hAnsi="Lato" w:cs="Lato"/>
          <w:color w:val="000000"/>
          <w:sz w:val="20"/>
          <w:szCs w:val="20"/>
        </w:rPr>
      </w:pPr>
      <w:r w:rsidRPr="0082155B">
        <w:rPr>
          <w:rFonts w:ascii="Lato" w:hAnsi="Lato" w:cs="Lato"/>
          <w:color w:val="000000"/>
          <w:sz w:val="20"/>
          <w:szCs w:val="20"/>
        </w:rPr>
        <w:t xml:space="preserve">Da Voi Soci dipende se vogliamo che, forte dei suoi 150 anni di storia, la Popolare di Vicenza mantenga anche per il futuro quel ruolo di protagonista nel sostegno all’economia locale e alle famiglie che ha sempre svolto e che sempre tutti ci hanno riconosciuto. </w:t>
      </w:r>
    </w:p>
    <w:p w:rsidR="00996408" w:rsidRPr="0082155B" w:rsidRDefault="00996408" w:rsidP="0082155B">
      <w:pPr>
        <w:pStyle w:val="Pa4"/>
        <w:spacing w:after="100"/>
        <w:jc w:val="right"/>
        <w:rPr>
          <w:rFonts w:ascii="Lato" w:hAnsi="Lato" w:cs="Lato"/>
          <w:color w:val="000000"/>
          <w:sz w:val="20"/>
          <w:szCs w:val="20"/>
        </w:rPr>
      </w:pPr>
    </w:p>
    <w:p w:rsidR="00996408" w:rsidRPr="0082155B" w:rsidRDefault="00996408" w:rsidP="0082155B">
      <w:pPr>
        <w:pStyle w:val="Pa4"/>
        <w:spacing w:after="100"/>
        <w:jc w:val="right"/>
        <w:rPr>
          <w:rFonts w:ascii="Lato" w:hAnsi="Lato" w:cs="Lato"/>
          <w:color w:val="000000"/>
          <w:sz w:val="20"/>
          <w:szCs w:val="20"/>
        </w:rPr>
      </w:pPr>
    </w:p>
    <w:p w:rsidR="00996408" w:rsidRPr="0082155B" w:rsidRDefault="00996408" w:rsidP="0082155B">
      <w:pPr>
        <w:pStyle w:val="Pa4"/>
        <w:spacing w:after="100"/>
        <w:jc w:val="right"/>
        <w:rPr>
          <w:rFonts w:ascii="Lato" w:hAnsi="Lato" w:cs="Lato"/>
          <w:color w:val="000000"/>
          <w:sz w:val="20"/>
          <w:szCs w:val="20"/>
        </w:rPr>
      </w:pPr>
      <w:r w:rsidRPr="0082155B">
        <w:rPr>
          <w:rFonts w:ascii="Lato" w:hAnsi="Lato" w:cs="Lato"/>
          <w:color w:val="000000"/>
          <w:sz w:val="20"/>
          <w:szCs w:val="20"/>
        </w:rPr>
        <w:t xml:space="preserve">Un saluto vivissimo e cordiale. </w:t>
      </w:r>
    </w:p>
    <w:p w:rsidR="00996408" w:rsidRPr="0082155B" w:rsidRDefault="00996408" w:rsidP="0082155B">
      <w:pPr>
        <w:pStyle w:val="Pa4"/>
        <w:spacing w:after="100"/>
        <w:jc w:val="right"/>
        <w:rPr>
          <w:rFonts w:ascii="Lato" w:hAnsi="Lato" w:cs="Lato"/>
          <w:color w:val="000000"/>
          <w:sz w:val="20"/>
          <w:szCs w:val="20"/>
        </w:rPr>
      </w:pPr>
      <w:r w:rsidRPr="0082155B">
        <w:rPr>
          <w:rFonts w:ascii="Lato" w:hAnsi="Lato" w:cs="Lato"/>
          <w:color w:val="000000"/>
          <w:sz w:val="20"/>
          <w:szCs w:val="20"/>
        </w:rPr>
        <w:t xml:space="preserve">Il Presidente </w:t>
      </w:r>
    </w:p>
    <w:p w:rsidR="00996408" w:rsidRPr="0082155B" w:rsidRDefault="00996408" w:rsidP="0082155B">
      <w:pPr>
        <w:jc w:val="right"/>
        <w:rPr>
          <w:sz w:val="20"/>
          <w:szCs w:val="20"/>
        </w:rPr>
      </w:pPr>
      <w:r w:rsidRPr="0082155B">
        <w:rPr>
          <w:rFonts w:cs="Minion Pro"/>
          <w:color w:val="000000"/>
          <w:sz w:val="20"/>
          <w:szCs w:val="20"/>
        </w:rPr>
        <w:t>Cav. Lav. Dott Gianni Zonin</w:t>
      </w:r>
      <w:bookmarkStart w:id="0" w:name="_GoBack"/>
      <w:bookmarkEnd w:id="0"/>
    </w:p>
    <w:sectPr w:rsidR="00996408" w:rsidRPr="0082155B" w:rsidSect="0060328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Lato Light">
    <w:altName w:val="Lato Light"/>
    <w:panose1 w:val="00000000000000000000"/>
    <w:charset w:val="00"/>
    <w:family w:val="swiss"/>
    <w:notTrueType/>
    <w:pitch w:val="default"/>
    <w:sig w:usb0="00000003" w:usb1="00000000" w:usb2="00000000" w:usb3="00000000" w:csb0="00000001"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55B"/>
    <w:rsid w:val="00603283"/>
    <w:rsid w:val="007B3FFD"/>
    <w:rsid w:val="0082155B"/>
    <w:rsid w:val="00996408"/>
    <w:rsid w:val="00A443B5"/>
    <w:rsid w:val="00BC0FE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8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2155B"/>
    <w:pPr>
      <w:autoSpaceDE w:val="0"/>
      <w:autoSpaceDN w:val="0"/>
      <w:adjustRightInd w:val="0"/>
    </w:pPr>
    <w:rPr>
      <w:rFonts w:ascii="Minion Pro" w:hAnsi="Minion Pro" w:cs="Minion Pro"/>
      <w:color w:val="000000"/>
      <w:sz w:val="24"/>
      <w:szCs w:val="24"/>
      <w:lang w:eastAsia="en-US"/>
    </w:rPr>
  </w:style>
  <w:style w:type="paragraph" w:customStyle="1" w:styleId="Pa0">
    <w:name w:val="Pa0"/>
    <w:basedOn w:val="Default"/>
    <w:next w:val="Default"/>
    <w:uiPriority w:val="99"/>
    <w:rsid w:val="0082155B"/>
    <w:pPr>
      <w:spacing w:line="201" w:lineRule="atLeast"/>
    </w:pPr>
    <w:rPr>
      <w:rFonts w:cs="Times New Roman"/>
      <w:color w:val="auto"/>
    </w:rPr>
  </w:style>
  <w:style w:type="paragraph" w:customStyle="1" w:styleId="Pa2">
    <w:name w:val="Pa2"/>
    <w:basedOn w:val="Default"/>
    <w:next w:val="Default"/>
    <w:uiPriority w:val="99"/>
    <w:rsid w:val="0082155B"/>
    <w:pPr>
      <w:spacing w:line="141" w:lineRule="atLeast"/>
    </w:pPr>
    <w:rPr>
      <w:rFonts w:cs="Times New Roman"/>
      <w:color w:val="auto"/>
    </w:rPr>
  </w:style>
  <w:style w:type="character" w:customStyle="1" w:styleId="A3">
    <w:name w:val="A3"/>
    <w:uiPriority w:val="99"/>
    <w:rsid w:val="0082155B"/>
    <w:rPr>
      <w:rFonts w:ascii="Lato Light" w:hAnsi="Lato Light"/>
      <w:i/>
      <w:color w:val="000000"/>
      <w:sz w:val="16"/>
    </w:rPr>
  </w:style>
  <w:style w:type="paragraph" w:customStyle="1" w:styleId="Pa3">
    <w:name w:val="Pa3"/>
    <w:basedOn w:val="Default"/>
    <w:next w:val="Default"/>
    <w:uiPriority w:val="99"/>
    <w:rsid w:val="0082155B"/>
    <w:pPr>
      <w:spacing w:line="161" w:lineRule="atLeast"/>
    </w:pPr>
    <w:rPr>
      <w:rFonts w:cs="Times New Roman"/>
      <w:color w:val="auto"/>
    </w:rPr>
  </w:style>
  <w:style w:type="character" w:customStyle="1" w:styleId="A6">
    <w:name w:val="A6"/>
    <w:uiPriority w:val="99"/>
    <w:rsid w:val="0082155B"/>
    <w:rPr>
      <w:rFonts w:ascii="Lato" w:hAnsi="Lato"/>
      <w:i/>
      <w:color w:val="000000"/>
      <w:sz w:val="48"/>
    </w:rPr>
  </w:style>
  <w:style w:type="paragraph" w:customStyle="1" w:styleId="Pa4">
    <w:name w:val="Pa4"/>
    <w:basedOn w:val="Default"/>
    <w:next w:val="Default"/>
    <w:uiPriority w:val="99"/>
    <w:rsid w:val="0082155B"/>
    <w:pPr>
      <w:spacing w:line="221" w:lineRule="atLeast"/>
    </w:pPr>
    <w:rPr>
      <w:rFonts w:cs="Times New Roman"/>
      <w:color w:val="auto"/>
    </w:rPr>
  </w:style>
  <w:style w:type="paragraph" w:customStyle="1" w:styleId="Pa9">
    <w:name w:val="Pa9"/>
    <w:basedOn w:val="Default"/>
    <w:next w:val="Default"/>
    <w:uiPriority w:val="99"/>
    <w:rsid w:val="0082155B"/>
    <w:pPr>
      <w:spacing w:line="20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2</Pages>
  <Words>1287</Words>
  <Characters>7341</Characters>
  <Application>Microsoft Office Outlook</Application>
  <DocSecurity>0</DocSecurity>
  <Lines>0</Lines>
  <Paragraphs>0</Paragraphs>
  <ScaleCrop>false</ScaleCrop>
  <Company>BANCA POPOLARE DI VICENZA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Vicenza, 1 settembre 2015 </dc:title>
  <dc:subject/>
  <dc:creator>Leo Lorenzo</dc:creator>
  <cp:keywords/>
  <dc:description/>
  <cp:lastModifiedBy>darioz</cp:lastModifiedBy>
  <cp:revision>2</cp:revision>
  <cp:lastPrinted>2015-09-14T10:21:00Z</cp:lastPrinted>
  <dcterms:created xsi:type="dcterms:W3CDTF">2015-09-14T11:43:00Z</dcterms:created>
  <dcterms:modified xsi:type="dcterms:W3CDTF">2015-09-14T11:43:00Z</dcterms:modified>
</cp:coreProperties>
</file>